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холодного водоснабжения многоквартирного жилого дома</w:t>
      </w:r>
      <w:r w:rsidR="00F226B8">
        <w:rPr>
          <w:rFonts w:ascii="Times New Roman" w:hAnsi="Times New Roman" w:cs="Times New Roman"/>
          <w:b/>
          <w:sz w:val="26"/>
          <w:szCs w:val="26"/>
        </w:rPr>
        <w:t xml:space="preserve"> квартал 28:10:101001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организации холодного водоснабжения многоквартирного жилого дома, расположенного в с. Чигири на земельном участке с кадастровым номером 28:10:101001:</w:t>
      </w:r>
      <w:r w:rsidR="00F226B8">
        <w:rPr>
          <w:rFonts w:ascii="Times New Roman" w:hAnsi="Times New Roman" w:cs="Times New Roman"/>
          <w:color w:val="212529"/>
          <w:sz w:val="26"/>
          <w:szCs w:val="26"/>
        </w:rPr>
        <w:t>1745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F226B8">
        <w:rPr>
          <w:rFonts w:ascii="Times New Roman" w:hAnsi="Times New Roman" w:cs="Times New Roman"/>
          <w:sz w:val="26"/>
          <w:szCs w:val="26"/>
        </w:rPr>
        <w:t>101001:1745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>тута 3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</w:t>
      </w:r>
      <w:r w:rsidR="00F226B8">
        <w:rPr>
          <w:rFonts w:ascii="Times New Roman" w:hAnsi="Times New Roman" w:cs="Times New Roman"/>
          <w:sz w:val="26"/>
          <w:szCs w:val="26"/>
        </w:rPr>
        <w:t>1746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>тута 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F226B8">
        <w:rPr>
          <w:rFonts w:ascii="Times New Roman" w:hAnsi="Times New Roman" w:cs="Times New Roman"/>
          <w:sz w:val="26"/>
          <w:szCs w:val="26"/>
        </w:rPr>
        <w:t>101001:2574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>тута 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F226B8">
        <w:rPr>
          <w:rFonts w:ascii="Times New Roman" w:hAnsi="Times New Roman" w:cs="Times New Roman"/>
          <w:sz w:val="26"/>
          <w:szCs w:val="26"/>
        </w:rPr>
        <w:t xml:space="preserve"> 61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F226B8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98.25pt">
            <v:imagedata r:id="rId6" o:title="2025-07-31_10-57-05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 xml:space="preserve">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1ECD-D7F7-410F-9451-3402DEAE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2025-07-31T01:58:00Z</dcterms:modified>
</cp:coreProperties>
</file>